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4447E1">
        <w:rPr>
          <w:rFonts w:asciiTheme="minorEastAsia" w:eastAsiaTheme="minorEastAsia" w:hAnsiTheme="minorEastAsia" w:hint="eastAsia"/>
          <w:spacing w:val="40"/>
          <w:kern w:val="0"/>
          <w:sz w:val="24"/>
          <w:fitText w:val="900" w:id="-1530139136"/>
        </w:rPr>
        <w:t>所在</w:t>
      </w:r>
      <w:r w:rsidRPr="004447E1">
        <w:rPr>
          <w:rFonts w:asciiTheme="minorEastAsia" w:eastAsiaTheme="minorEastAsia" w:hAnsiTheme="minorEastAsia" w:hint="eastAsia"/>
          <w:spacing w:val="10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2EF1F5D9" w:rsidR="003F2C6B" w:rsidRPr="00E24BE9" w:rsidRDefault="007B03B6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4447E1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６</w:t>
      </w: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</w:t>
      </w:r>
      <w:r w:rsidR="004447E1" w:rsidRPr="004447E1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英仏向け流通環境整備事業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4447E1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447E1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02FD2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2024-04-25T06:43:00Z</dcterms:modified>
</cp:coreProperties>
</file>